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9" w:rsidRDefault="000D1A09" w:rsidP="002236A6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0D1EC0" w:rsidRDefault="00D81017" w:rsidP="002236A6">
      <w:pPr>
        <w:spacing w:after="0" w:line="240" w:lineRule="auto"/>
        <w:jc w:val="center"/>
        <w:rPr>
          <w:b/>
          <w:sz w:val="32"/>
          <w:szCs w:val="24"/>
          <w:lang w:val="fr-FR"/>
        </w:rPr>
      </w:pPr>
      <w:r w:rsidRPr="000D1A09">
        <w:rPr>
          <w:b/>
          <w:sz w:val="32"/>
          <w:szCs w:val="24"/>
          <w:lang w:val="fr-FR"/>
        </w:rPr>
        <w:t xml:space="preserve">Mois de </w:t>
      </w:r>
      <w:r w:rsidR="000D1A09" w:rsidRPr="000D1A09">
        <w:rPr>
          <w:b/>
          <w:sz w:val="32"/>
          <w:szCs w:val="24"/>
          <w:lang w:val="fr-FR"/>
        </w:rPr>
        <w:t>prévention</w:t>
      </w:r>
      <w:r w:rsidRPr="000D1A09">
        <w:rPr>
          <w:b/>
          <w:sz w:val="32"/>
          <w:szCs w:val="24"/>
          <w:lang w:val="fr-FR"/>
        </w:rPr>
        <w:t xml:space="preserve"> des agressions sexualisées 2015 </w:t>
      </w:r>
      <w:r w:rsidR="000D1A09">
        <w:rPr>
          <w:b/>
          <w:sz w:val="32"/>
          <w:szCs w:val="24"/>
          <w:lang w:val="fr-FR"/>
        </w:rPr>
        <w:t>–</w:t>
      </w:r>
      <w:r w:rsidRPr="000D1A09">
        <w:rPr>
          <w:b/>
          <w:sz w:val="32"/>
          <w:szCs w:val="24"/>
          <w:lang w:val="fr-FR"/>
        </w:rPr>
        <w:t xml:space="preserve"> FAQ</w:t>
      </w:r>
    </w:p>
    <w:p w:rsidR="000D1A09" w:rsidRPr="000D1A09" w:rsidRDefault="000D1A09" w:rsidP="002236A6">
      <w:pPr>
        <w:spacing w:after="0" w:line="240" w:lineRule="auto"/>
        <w:jc w:val="center"/>
        <w:rPr>
          <w:b/>
          <w:sz w:val="32"/>
          <w:szCs w:val="24"/>
          <w:lang w:val="fr-FR"/>
        </w:rPr>
      </w:pPr>
      <w:r>
        <w:rPr>
          <w:b/>
          <w:noProof/>
          <w:sz w:val="3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119085</wp:posOffset>
                </wp:positionH>
                <wp:positionV relativeFrom="paragraph">
                  <wp:posOffset>214246</wp:posOffset>
                </wp:positionV>
                <wp:extent cx="7017488" cy="0"/>
                <wp:effectExtent l="0" t="0" r="120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6.85pt" to="56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" strokecolor="#bc4542 [3045]"/>
            </w:pict>
          </mc:Fallback>
        </mc:AlternateContent>
      </w:r>
    </w:p>
    <w:p w:rsidR="000D1A09" w:rsidRDefault="000D1A09" w:rsidP="00D81017">
      <w:pPr>
        <w:spacing w:line="240" w:lineRule="auto"/>
        <w:rPr>
          <w:i/>
          <w:sz w:val="24"/>
          <w:szCs w:val="24"/>
          <w:lang w:val="fr-FR"/>
        </w:rPr>
      </w:pPr>
    </w:p>
    <w:p w:rsidR="00D81017" w:rsidRPr="006A35DB" w:rsidRDefault="000D1A09" w:rsidP="00D81017">
      <w:pPr>
        <w:spacing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À</w:t>
      </w:r>
      <w:r w:rsidR="00D81017" w:rsidRPr="006A35DB">
        <w:rPr>
          <w:i/>
          <w:sz w:val="24"/>
          <w:szCs w:val="24"/>
          <w:lang w:val="fr-FR"/>
        </w:rPr>
        <w:t xml:space="preserve"> propos des affiches : </w:t>
      </w:r>
      <w:r w:rsidR="009718EC" w:rsidRPr="009718EC">
        <w:rPr>
          <w:i/>
          <w:color w:val="7030A0"/>
          <w:sz w:val="24"/>
          <w:szCs w:val="24"/>
          <w:lang w:val="fr-FR"/>
        </w:rPr>
        <w:t>(les affiches seront dévoilées le 1</w:t>
      </w:r>
      <w:r w:rsidR="009718EC" w:rsidRPr="009718EC">
        <w:rPr>
          <w:i/>
          <w:color w:val="7030A0"/>
          <w:sz w:val="24"/>
          <w:szCs w:val="24"/>
          <w:vertAlign w:val="superscript"/>
          <w:lang w:val="fr-FR"/>
        </w:rPr>
        <w:t>e</w:t>
      </w:r>
      <w:r w:rsidR="009718EC" w:rsidRPr="009718EC">
        <w:rPr>
          <w:i/>
          <w:color w:val="7030A0"/>
          <w:sz w:val="24"/>
          <w:szCs w:val="24"/>
          <w:lang w:val="fr-FR"/>
        </w:rPr>
        <w:t xml:space="preserve"> mai, lors du lancement)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L'objectif de cette campagne est de parler de la réalité des agressions sexualisées, de l'alcool, et la responsabilité en matière de consentement.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L'alcool est souvent utilisé délibérément par les violeurs afin</w:t>
      </w:r>
      <w:r w:rsidR="00402017">
        <w:rPr>
          <w:sz w:val="24"/>
          <w:szCs w:val="24"/>
          <w:lang w:val="fr-FR"/>
        </w:rPr>
        <w:t xml:space="preserve"> de</w:t>
      </w:r>
      <w:r w:rsidRPr="006A35DB">
        <w:rPr>
          <w:sz w:val="24"/>
          <w:szCs w:val="24"/>
          <w:lang w:val="fr-FR"/>
        </w:rPr>
        <w:t xml:space="preserve"> diminuer la résistance de leur victime, de sorte qu'ils peuvent commettre une agression sexualisée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Quand quelqu'un est saoul, cette personne ne peut pas légalement donner son consentement.</w:t>
      </w:r>
      <w:bookmarkStart w:id="0" w:name="_GoBack"/>
      <w:bookmarkEnd w:id="0"/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Boire n’est pas un crime, le viol en est un.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Nous voulons aussi aider chacun à comprendre comment, et quand, ils peuvent légalement obtenir le consentement.</w:t>
      </w:r>
    </w:p>
    <w:p w:rsidR="00D81017" w:rsidRPr="006A35DB" w:rsidRDefault="00D81017" w:rsidP="00D81017">
      <w:pPr>
        <w:spacing w:line="240" w:lineRule="auto"/>
        <w:rPr>
          <w:i/>
          <w:sz w:val="24"/>
          <w:szCs w:val="24"/>
          <w:lang w:val="fr-FR"/>
        </w:rPr>
      </w:pPr>
      <w:r w:rsidRPr="006A35DB">
        <w:rPr>
          <w:i/>
          <w:sz w:val="24"/>
          <w:szCs w:val="24"/>
          <w:lang w:val="fr-FR"/>
        </w:rPr>
        <w:t>Est-ce que ce problème s’applique au Yukon ?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Oui. 1 femme</w:t>
      </w:r>
      <w:r>
        <w:rPr>
          <w:sz w:val="24"/>
          <w:szCs w:val="24"/>
          <w:lang w:val="fr-FR"/>
        </w:rPr>
        <w:t xml:space="preserve"> sur </w:t>
      </w:r>
      <w:r w:rsidRPr="006A35DB">
        <w:rPr>
          <w:sz w:val="24"/>
          <w:szCs w:val="24"/>
          <w:lang w:val="fr-FR"/>
        </w:rPr>
        <w:t xml:space="preserve"> 4 </w:t>
      </w:r>
      <w:r>
        <w:rPr>
          <w:sz w:val="24"/>
          <w:szCs w:val="24"/>
          <w:lang w:val="fr-FR"/>
        </w:rPr>
        <w:t>au Canada sera</w:t>
      </w:r>
      <w:r w:rsidRPr="006A35DB">
        <w:rPr>
          <w:sz w:val="24"/>
          <w:szCs w:val="24"/>
          <w:lang w:val="fr-FR"/>
        </w:rPr>
        <w:t xml:space="preserve"> agressée sexuellement au cours de sa vie.</w:t>
      </w:r>
      <w:r>
        <w:rPr>
          <w:rStyle w:val="Appelnotedebasdep"/>
          <w:sz w:val="24"/>
          <w:szCs w:val="24"/>
          <w:lang w:val="fr-FR"/>
        </w:rPr>
        <w:footnoteReference w:id="1"/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Les femmes autochtones sont 3 à 4 fois plus susceptibles d'être victimes de violence que les femmes non autochtones.</w:t>
      </w:r>
      <w:r>
        <w:rPr>
          <w:rStyle w:val="Appelnotedebasdep"/>
          <w:sz w:val="24"/>
          <w:szCs w:val="24"/>
          <w:lang w:val="fr-FR"/>
        </w:rPr>
        <w:footnoteReference w:id="2"/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</w:t>
      </w:r>
      <w:r w:rsidRPr="006A35DB">
        <w:rPr>
          <w:sz w:val="24"/>
          <w:szCs w:val="24"/>
          <w:lang w:val="fr-FR"/>
        </w:rPr>
        <w:t>Yukon, le taux de violence contre les femmes 3,5 fois plus que la moyenne nationale.</w:t>
      </w:r>
      <w:r>
        <w:rPr>
          <w:rStyle w:val="Appelnotedebasdep"/>
          <w:sz w:val="24"/>
          <w:szCs w:val="24"/>
          <w:lang w:val="fr-FR"/>
        </w:rPr>
        <w:footnoteReference w:id="3"/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Plus de la moitié (58%) des</w:t>
      </w:r>
      <w:r>
        <w:rPr>
          <w:sz w:val="24"/>
          <w:szCs w:val="24"/>
          <w:lang w:val="fr-FR"/>
        </w:rPr>
        <w:t xml:space="preserve"> victimes d'agression sexuelle </w:t>
      </w:r>
      <w:r w:rsidRPr="006A35DB">
        <w:rPr>
          <w:sz w:val="24"/>
          <w:szCs w:val="24"/>
          <w:lang w:val="fr-FR"/>
        </w:rPr>
        <w:t>ont moins de 18 ans.</w:t>
      </w:r>
      <w:r>
        <w:rPr>
          <w:rStyle w:val="Appelnotedebasdep"/>
          <w:sz w:val="24"/>
          <w:szCs w:val="24"/>
          <w:lang w:val="fr-FR"/>
        </w:rPr>
        <w:footnoteReference w:id="4"/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>97% des coupables d'agressions à caractère sexuel sont des hommes.</w:t>
      </w:r>
      <w:r>
        <w:rPr>
          <w:rStyle w:val="Appelnotedebasdep"/>
          <w:sz w:val="24"/>
          <w:szCs w:val="24"/>
          <w:lang w:val="fr-FR"/>
        </w:rPr>
        <w:footnoteReference w:id="5"/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 xml:space="preserve">92% des </w:t>
      </w:r>
      <w:r>
        <w:rPr>
          <w:sz w:val="24"/>
          <w:szCs w:val="24"/>
          <w:lang w:val="fr-FR"/>
        </w:rPr>
        <w:t>agresseurs</w:t>
      </w:r>
      <w:r w:rsidRPr="006A35D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(</w:t>
      </w:r>
      <w:r w:rsidRPr="006A35DB">
        <w:rPr>
          <w:sz w:val="24"/>
          <w:szCs w:val="24"/>
          <w:lang w:val="fr-FR"/>
        </w:rPr>
        <w:t>à caractère sexuel</w:t>
      </w:r>
      <w:r>
        <w:rPr>
          <w:sz w:val="24"/>
          <w:szCs w:val="24"/>
          <w:lang w:val="fr-FR"/>
        </w:rPr>
        <w:t xml:space="preserve">) sont </w:t>
      </w:r>
      <w:r w:rsidRPr="006A35DB">
        <w:rPr>
          <w:sz w:val="24"/>
          <w:szCs w:val="24"/>
          <w:lang w:val="fr-FR"/>
        </w:rPr>
        <w:t>connu de la victime.</w:t>
      </w:r>
      <w:r>
        <w:rPr>
          <w:rStyle w:val="Appelnotedebasdep"/>
          <w:sz w:val="24"/>
          <w:szCs w:val="24"/>
          <w:lang w:val="fr-FR"/>
        </w:rPr>
        <w:footnoteReference w:id="6"/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 xml:space="preserve">L'alcool est un </w:t>
      </w:r>
      <w:r>
        <w:rPr>
          <w:sz w:val="24"/>
          <w:szCs w:val="24"/>
          <w:lang w:val="fr-FR"/>
        </w:rPr>
        <w:t xml:space="preserve">énorme </w:t>
      </w:r>
      <w:r w:rsidRPr="006A35DB">
        <w:rPr>
          <w:sz w:val="24"/>
          <w:szCs w:val="24"/>
          <w:lang w:val="fr-FR"/>
        </w:rPr>
        <w:t xml:space="preserve">facteur dans des agressions </w:t>
      </w:r>
      <w:r>
        <w:rPr>
          <w:sz w:val="24"/>
          <w:szCs w:val="24"/>
          <w:lang w:val="fr-FR"/>
        </w:rPr>
        <w:t xml:space="preserve">sexualisées. </w:t>
      </w:r>
      <w:r w:rsidRPr="006A35DB">
        <w:rPr>
          <w:sz w:val="24"/>
          <w:szCs w:val="24"/>
          <w:lang w:val="fr-FR"/>
        </w:rPr>
        <w:t xml:space="preserve">Les victimes peuvent ne pas signaler ce fait parce qu'ils ne se souviennent pas les détails, ou ils </w:t>
      </w:r>
      <w:r>
        <w:rPr>
          <w:sz w:val="24"/>
          <w:szCs w:val="24"/>
          <w:lang w:val="fr-FR"/>
        </w:rPr>
        <w:t>par crainte</w:t>
      </w:r>
      <w:r w:rsidRPr="006A35DB">
        <w:rPr>
          <w:sz w:val="24"/>
          <w:szCs w:val="24"/>
          <w:lang w:val="fr-FR"/>
        </w:rPr>
        <w:t xml:space="preserve"> d'être </w:t>
      </w:r>
      <w:r>
        <w:rPr>
          <w:sz w:val="24"/>
          <w:szCs w:val="24"/>
          <w:lang w:val="fr-FR"/>
        </w:rPr>
        <w:t>stigmatisée et blâmer de leur comportement face à la boisson</w:t>
      </w:r>
      <w:r w:rsidRPr="006A35DB">
        <w:rPr>
          <w:sz w:val="24"/>
          <w:szCs w:val="24"/>
          <w:lang w:val="fr-FR"/>
        </w:rPr>
        <w:t>.</w:t>
      </w:r>
    </w:p>
    <w:p w:rsidR="00D81017" w:rsidRPr="006A35DB" w:rsidRDefault="00D81017" w:rsidP="00D81017">
      <w:pPr>
        <w:spacing w:line="240" w:lineRule="auto"/>
        <w:rPr>
          <w:i/>
          <w:sz w:val="24"/>
          <w:szCs w:val="24"/>
          <w:lang w:val="fr-FR"/>
        </w:rPr>
      </w:pPr>
      <w:r w:rsidRPr="006A35DB">
        <w:rPr>
          <w:i/>
          <w:sz w:val="24"/>
          <w:szCs w:val="24"/>
          <w:lang w:val="fr-FR"/>
        </w:rPr>
        <w:t>L'alcool est-il vraiment une drogue du viol?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t xml:space="preserve">Oui. L'alcool </w:t>
      </w:r>
      <w:r>
        <w:rPr>
          <w:sz w:val="24"/>
          <w:szCs w:val="24"/>
          <w:lang w:val="fr-FR"/>
        </w:rPr>
        <w:t>affecte</w:t>
      </w:r>
      <w:r w:rsidRPr="006A35DB">
        <w:rPr>
          <w:sz w:val="24"/>
          <w:szCs w:val="24"/>
          <w:lang w:val="fr-FR"/>
        </w:rPr>
        <w:t xml:space="preserve"> le système nerveux central. Une grande consommation d'alcool </w:t>
      </w:r>
      <w:r>
        <w:rPr>
          <w:sz w:val="24"/>
          <w:szCs w:val="24"/>
          <w:lang w:val="fr-FR"/>
        </w:rPr>
        <w:t>en</w:t>
      </w:r>
      <w:r w:rsidRPr="006A35DB">
        <w:rPr>
          <w:sz w:val="24"/>
          <w:szCs w:val="24"/>
          <w:lang w:val="fr-FR"/>
        </w:rPr>
        <w:t xml:space="preserve"> une très courte période de temps peut entraîner un coma temporaire ou </w:t>
      </w:r>
      <w:r>
        <w:rPr>
          <w:sz w:val="24"/>
          <w:szCs w:val="24"/>
          <w:lang w:val="fr-FR"/>
        </w:rPr>
        <w:t xml:space="preserve">une </w:t>
      </w:r>
      <w:r w:rsidRPr="006A35DB">
        <w:rPr>
          <w:sz w:val="24"/>
          <w:szCs w:val="24"/>
          <w:lang w:val="fr-FR"/>
        </w:rPr>
        <w:t xml:space="preserve">intoxication alcoolique. </w:t>
      </w:r>
      <w:r>
        <w:rPr>
          <w:sz w:val="24"/>
          <w:szCs w:val="24"/>
          <w:lang w:val="fr-FR"/>
        </w:rPr>
        <w:t>C’</w:t>
      </w:r>
      <w:r w:rsidRPr="006A35DB">
        <w:rPr>
          <w:sz w:val="24"/>
          <w:szCs w:val="24"/>
          <w:lang w:val="fr-FR"/>
        </w:rPr>
        <w:t>est de loin la drogue du viol le plus répandu</w:t>
      </w:r>
      <w:r>
        <w:rPr>
          <w:sz w:val="24"/>
          <w:szCs w:val="24"/>
          <w:lang w:val="fr-FR"/>
        </w:rPr>
        <w:t>e</w:t>
      </w:r>
      <w:r w:rsidR="000D1A09">
        <w:rPr>
          <w:sz w:val="24"/>
          <w:szCs w:val="24"/>
          <w:lang w:val="fr-FR"/>
        </w:rPr>
        <w:t>,</w:t>
      </w:r>
      <w:r w:rsidRPr="006A35DB">
        <w:rPr>
          <w:sz w:val="24"/>
          <w:szCs w:val="24"/>
          <w:lang w:val="fr-FR"/>
        </w:rPr>
        <w:t xml:space="preserve"> car </w:t>
      </w:r>
      <w:r>
        <w:rPr>
          <w:sz w:val="24"/>
          <w:szCs w:val="24"/>
          <w:lang w:val="fr-FR"/>
        </w:rPr>
        <w:t>c’est une substance</w:t>
      </w:r>
      <w:r w:rsidRPr="006A35DB">
        <w:rPr>
          <w:sz w:val="24"/>
          <w:szCs w:val="24"/>
          <w:lang w:val="fr-FR"/>
        </w:rPr>
        <w:t xml:space="preserve"> facile à utiliser, disponible, </w:t>
      </w:r>
      <w:r>
        <w:rPr>
          <w:sz w:val="24"/>
          <w:szCs w:val="24"/>
          <w:lang w:val="fr-FR"/>
        </w:rPr>
        <w:t>légale</w:t>
      </w:r>
      <w:r w:rsidRPr="006A35DB">
        <w:rPr>
          <w:sz w:val="24"/>
          <w:szCs w:val="24"/>
          <w:lang w:val="fr-FR"/>
        </w:rPr>
        <w:t xml:space="preserve"> et socialement acceptable.</w:t>
      </w:r>
    </w:p>
    <w:p w:rsidR="00D81017" w:rsidRPr="006A35DB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A35DB">
        <w:rPr>
          <w:sz w:val="24"/>
          <w:szCs w:val="24"/>
          <w:lang w:val="fr-FR"/>
        </w:rPr>
        <w:lastRenderedPageBreak/>
        <w:t xml:space="preserve">Dans certains cas, un </w:t>
      </w:r>
      <w:r>
        <w:rPr>
          <w:sz w:val="24"/>
          <w:szCs w:val="24"/>
          <w:lang w:val="fr-FR"/>
        </w:rPr>
        <w:t>agresseur</w:t>
      </w:r>
      <w:r w:rsidRPr="006A35DB">
        <w:rPr>
          <w:sz w:val="24"/>
          <w:szCs w:val="24"/>
          <w:lang w:val="fr-FR"/>
        </w:rPr>
        <w:t xml:space="preserve"> peut </w:t>
      </w:r>
      <w:r>
        <w:rPr>
          <w:sz w:val="24"/>
          <w:szCs w:val="24"/>
          <w:lang w:val="fr-FR"/>
        </w:rPr>
        <w:t xml:space="preserve">influencer </w:t>
      </w:r>
      <w:r w:rsidRPr="006A35DB">
        <w:rPr>
          <w:sz w:val="24"/>
          <w:szCs w:val="24"/>
          <w:lang w:val="fr-FR"/>
        </w:rPr>
        <w:t xml:space="preserve">activement </w:t>
      </w:r>
      <w:r>
        <w:rPr>
          <w:sz w:val="24"/>
          <w:szCs w:val="24"/>
          <w:lang w:val="fr-FR"/>
        </w:rPr>
        <w:t>la consommation</w:t>
      </w:r>
      <w:r w:rsidRPr="006A35DB">
        <w:rPr>
          <w:sz w:val="24"/>
          <w:szCs w:val="24"/>
          <w:lang w:val="fr-FR"/>
        </w:rPr>
        <w:t xml:space="preserve"> en achetant les boissons, </w:t>
      </w:r>
      <w:r>
        <w:rPr>
          <w:sz w:val="24"/>
          <w:szCs w:val="24"/>
          <w:lang w:val="fr-FR"/>
        </w:rPr>
        <w:t>en</w:t>
      </w:r>
      <w:r w:rsidRPr="006A35DB">
        <w:rPr>
          <w:sz w:val="24"/>
          <w:szCs w:val="24"/>
          <w:lang w:val="fr-FR"/>
        </w:rPr>
        <w:t xml:space="preserve"> encourageant </w:t>
      </w:r>
      <w:r>
        <w:rPr>
          <w:sz w:val="24"/>
          <w:szCs w:val="24"/>
          <w:lang w:val="fr-FR"/>
        </w:rPr>
        <w:t>à boire</w:t>
      </w:r>
      <w:r w:rsidRPr="006A35DB">
        <w:rPr>
          <w:sz w:val="24"/>
          <w:szCs w:val="24"/>
          <w:lang w:val="fr-FR"/>
        </w:rPr>
        <w:t xml:space="preserve">, ou en mélangeant </w:t>
      </w:r>
      <w:r>
        <w:rPr>
          <w:sz w:val="24"/>
          <w:szCs w:val="24"/>
          <w:lang w:val="fr-FR"/>
        </w:rPr>
        <w:t>l</w:t>
      </w:r>
      <w:r w:rsidRPr="006A35DB">
        <w:rPr>
          <w:sz w:val="24"/>
          <w:szCs w:val="24"/>
          <w:lang w:val="fr-FR"/>
        </w:rPr>
        <w:t>es boissons avec plus d'alcool que demandé.</w:t>
      </w:r>
    </w:p>
    <w:p w:rsidR="00D81017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D81017">
        <w:rPr>
          <w:sz w:val="24"/>
          <w:szCs w:val="24"/>
          <w:lang w:val="fr-FR"/>
        </w:rPr>
        <w:t>Parfois, les agresseurs profitent d'une femme qui boit, sachant que sa résistance est ainsi affaiblie.</w:t>
      </w:r>
    </w:p>
    <w:p w:rsidR="00D81017" w:rsidRPr="00D81017" w:rsidRDefault="00D81017" w:rsidP="00D8101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D81017">
        <w:rPr>
          <w:sz w:val="24"/>
          <w:szCs w:val="24"/>
          <w:lang w:val="fr-FR"/>
        </w:rPr>
        <w:t xml:space="preserve">Dans notre travail, nous entendons fréquemment une réalité terrible : les agressions sexualisées sur des femmes inconscientes est une pratique très fréquente au Yukon. </w:t>
      </w:r>
    </w:p>
    <w:p w:rsidR="000D1A09" w:rsidRDefault="000D1A09" w:rsidP="00D81017">
      <w:pPr>
        <w:spacing w:line="240" w:lineRule="auto"/>
        <w:rPr>
          <w:i/>
          <w:sz w:val="24"/>
          <w:szCs w:val="24"/>
          <w:lang w:val="fr-FR"/>
        </w:rPr>
      </w:pPr>
    </w:p>
    <w:p w:rsidR="00D81017" w:rsidRPr="00D81017" w:rsidRDefault="00D81017" w:rsidP="00D81017">
      <w:pPr>
        <w:spacing w:line="240" w:lineRule="auto"/>
        <w:rPr>
          <w:i/>
          <w:sz w:val="24"/>
          <w:szCs w:val="24"/>
          <w:lang w:val="fr-FR"/>
        </w:rPr>
      </w:pPr>
      <w:r w:rsidRPr="00D81017">
        <w:rPr>
          <w:i/>
          <w:sz w:val="24"/>
          <w:szCs w:val="24"/>
          <w:lang w:val="fr-FR"/>
        </w:rPr>
        <w:t>Les hommes et les agressions sexualisées</w:t>
      </w:r>
    </w:p>
    <w:p w:rsidR="00D81017" w:rsidRPr="00D81017" w:rsidRDefault="00D81017" w:rsidP="00D8101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D81017">
        <w:rPr>
          <w:sz w:val="24"/>
          <w:szCs w:val="24"/>
          <w:lang w:val="fr-FR"/>
        </w:rPr>
        <w:t>Les hommes peuvent être parfois victimes d’agressions sexualisées. Mais la majorité des agresseurs (cela inclut les agressions contre les hommes) sont des hommes.</w:t>
      </w:r>
    </w:p>
    <w:p w:rsidR="00D81017" w:rsidRPr="00D81017" w:rsidRDefault="00D81017" w:rsidP="00D8101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D81017">
        <w:rPr>
          <w:sz w:val="24"/>
          <w:szCs w:val="24"/>
          <w:lang w:val="fr-FR"/>
        </w:rPr>
        <w:t>Dans 92% des cas signalés, les victimes d'agressions sexualisées étaient des femmes.</w:t>
      </w:r>
      <w:r w:rsidR="000D1A09">
        <w:rPr>
          <w:rStyle w:val="Appelnotedebasdep"/>
          <w:sz w:val="24"/>
          <w:szCs w:val="24"/>
          <w:lang w:val="fr-FR"/>
        </w:rPr>
        <w:footnoteReference w:id="7"/>
      </w:r>
    </w:p>
    <w:p w:rsidR="00D81017" w:rsidRPr="00D81017" w:rsidRDefault="00D81017" w:rsidP="00D8101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D81017">
        <w:rPr>
          <w:sz w:val="24"/>
          <w:szCs w:val="24"/>
          <w:lang w:val="fr-FR"/>
        </w:rPr>
        <w:t xml:space="preserve">Dans 99% des cas d’agressions sexualisées contre des femmes, l'agresseur était un homme. </w:t>
      </w:r>
      <w:r w:rsidR="000D1A09">
        <w:rPr>
          <w:rStyle w:val="Appelnotedebasdep"/>
          <w:sz w:val="24"/>
          <w:szCs w:val="24"/>
          <w:lang w:val="fr-FR"/>
        </w:rPr>
        <w:footnoteReference w:id="8"/>
      </w:r>
    </w:p>
    <w:p w:rsidR="000D1A09" w:rsidRDefault="000D1A09" w:rsidP="000D1A09">
      <w:pPr>
        <w:spacing w:line="240" w:lineRule="auto"/>
        <w:rPr>
          <w:i/>
          <w:sz w:val="24"/>
          <w:szCs w:val="24"/>
          <w:lang w:val="fr-FR"/>
        </w:rPr>
      </w:pPr>
    </w:p>
    <w:p w:rsidR="000D1A09" w:rsidRPr="000607E3" w:rsidRDefault="000D1A09" w:rsidP="000D1A09">
      <w:pPr>
        <w:spacing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Alcool et responsabilité – un double standard injuste !</w:t>
      </w:r>
    </w:p>
    <w:p w:rsidR="000D1A09" w:rsidRPr="006A35DB" w:rsidRDefault="000D1A09" w:rsidP="000D1A09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 une femme est saoule lors de son agression, elle est souvent blâmée pour son comportement de consommation. Sa responsabilité, selon l’opinion publique, augmente. </w:t>
      </w:r>
    </w:p>
    <w:p w:rsidR="000D1A09" w:rsidRDefault="000D1A09" w:rsidP="000D1A09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Lorsqu’un agresseur est saoul, l’alcool représente souvent une excuse pour diminuer la responsabilité de leurs actions. </w:t>
      </w:r>
    </w:p>
    <w:p w:rsidR="000D1A09" w:rsidRDefault="000D1A09" w:rsidP="000D1A09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0D1A09">
        <w:rPr>
          <w:sz w:val="24"/>
          <w:szCs w:val="24"/>
          <w:lang w:val="fr-FR"/>
        </w:rPr>
        <w:t xml:space="preserve">Ceci est un double standard injuste. </w:t>
      </w:r>
      <w:r w:rsidRPr="000D1A09">
        <w:rPr>
          <w:sz w:val="24"/>
          <w:szCs w:val="24"/>
          <w:u w:val="single"/>
          <w:lang w:val="fr-FR"/>
        </w:rPr>
        <w:t>Nous devons cesser de blâmer la victime</w:t>
      </w:r>
      <w:r w:rsidRPr="000D1A09">
        <w:rPr>
          <w:sz w:val="24"/>
          <w:szCs w:val="24"/>
          <w:lang w:val="fr-FR"/>
        </w:rPr>
        <w:t>.</w:t>
      </w:r>
    </w:p>
    <w:p w:rsidR="000D1A09" w:rsidRPr="000D1A09" w:rsidRDefault="000D1A09" w:rsidP="000D1A09">
      <w:pPr>
        <w:pStyle w:val="Paragraphedeliste"/>
        <w:spacing w:line="240" w:lineRule="auto"/>
        <w:rPr>
          <w:sz w:val="24"/>
          <w:szCs w:val="24"/>
          <w:lang w:val="fr-FR"/>
        </w:rPr>
      </w:pPr>
    </w:p>
    <w:p w:rsidR="000D1A09" w:rsidRPr="008F6FD3" w:rsidRDefault="000D1A09" w:rsidP="000D1A09">
      <w:pPr>
        <w:spacing w:line="240" w:lineRule="auto"/>
        <w:rPr>
          <w:i/>
          <w:sz w:val="24"/>
          <w:szCs w:val="24"/>
          <w:lang w:val="fr-FR"/>
        </w:rPr>
      </w:pPr>
      <w:r w:rsidRPr="008F6FD3">
        <w:rPr>
          <w:i/>
          <w:sz w:val="24"/>
          <w:szCs w:val="24"/>
          <w:lang w:val="fr-FR"/>
        </w:rPr>
        <w:t xml:space="preserve">Comment </w:t>
      </w:r>
      <w:r>
        <w:rPr>
          <w:i/>
          <w:sz w:val="24"/>
          <w:szCs w:val="24"/>
          <w:lang w:val="fr-FR"/>
        </w:rPr>
        <w:t>notre réponse sociale</w:t>
      </w:r>
      <w:r w:rsidRPr="008F6FD3">
        <w:rPr>
          <w:i/>
          <w:sz w:val="24"/>
          <w:szCs w:val="24"/>
          <w:lang w:val="fr-FR"/>
        </w:rPr>
        <w:t xml:space="preserve"> affecte</w:t>
      </w:r>
      <w:r w:rsidR="00402017">
        <w:rPr>
          <w:i/>
          <w:sz w:val="24"/>
          <w:szCs w:val="24"/>
          <w:lang w:val="fr-FR"/>
        </w:rPr>
        <w:t>-t-elle</w:t>
      </w:r>
      <w:r w:rsidRPr="008F6FD3">
        <w:rPr>
          <w:i/>
          <w:sz w:val="24"/>
          <w:szCs w:val="24"/>
          <w:lang w:val="fr-FR"/>
        </w:rPr>
        <w:t xml:space="preserve"> les taux de signalement?</w:t>
      </w:r>
    </w:p>
    <w:p w:rsidR="000D1A09" w:rsidRPr="008F6FD3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Seulement 1 agression </w:t>
      </w:r>
      <w:r>
        <w:rPr>
          <w:sz w:val="24"/>
          <w:szCs w:val="24"/>
          <w:lang w:val="fr-FR"/>
        </w:rPr>
        <w:t xml:space="preserve">sexualisée </w:t>
      </w:r>
      <w:r w:rsidRPr="008F6FD3">
        <w:rPr>
          <w:sz w:val="24"/>
          <w:szCs w:val="24"/>
          <w:lang w:val="fr-FR"/>
        </w:rPr>
        <w:t xml:space="preserve">sur 10 </w:t>
      </w:r>
      <w:r>
        <w:rPr>
          <w:sz w:val="24"/>
          <w:szCs w:val="24"/>
          <w:lang w:val="fr-FR"/>
        </w:rPr>
        <w:t>est</w:t>
      </w:r>
      <w:r w:rsidRPr="008F6FD3">
        <w:rPr>
          <w:sz w:val="24"/>
          <w:szCs w:val="24"/>
          <w:lang w:val="fr-FR"/>
        </w:rPr>
        <w:t xml:space="preserve"> signalé</w:t>
      </w:r>
      <w:r>
        <w:rPr>
          <w:sz w:val="24"/>
          <w:szCs w:val="24"/>
          <w:lang w:val="fr-FR"/>
        </w:rPr>
        <w:t>e</w:t>
      </w:r>
      <w:r w:rsidRPr="008F6FD3">
        <w:rPr>
          <w:sz w:val="24"/>
          <w:szCs w:val="24"/>
          <w:lang w:val="fr-FR"/>
        </w:rPr>
        <w:t xml:space="preserve"> à la police.</w:t>
      </w:r>
      <w:r>
        <w:rPr>
          <w:sz w:val="24"/>
          <w:szCs w:val="24"/>
          <w:lang w:val="fr-FR"/>
        </w:rPr>
        <w:t xml:space="preserve"> </w:t>
      </w:r>
      <w:r>
        <w:rPr>
          <w:rStyle w:val="Appelnotedebasdep"/>
          <w:sz w:val="24"/>
          <w:szCs w:val="24"/>
          <w:lang w:val="fr-FR"/>
        </w:rPr>
        <w:footnoteReference w:id="9"/>
      </w:r>
    </w:p>
    <w:p w:rsidR="000D1A09" w:rsidRPr="008F6FD3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plupart des victimes, c</w:t>
      </w:r>
      <w:r w:rsidRPr="008F6FD3">
        <w:rPr>
          <w:sz w:val="24"/>
          <w:szCs w:val="24"/>
          <w:lang w:val="fr-FR"/>
        </w:rPr>
        <w:t>ependant</w:t>
      </w:r>
      <w:r>
        <w:rPr>
          <w:sz w:val="24"/>
          <w:szCs w:val="24"/>
          <w:lang w:val="fr-FR"/>
        </w:rPr>
        <w:t xml:space="preserve">, choisiront de divulguer leur agression à </w:t>
      </w:r>
      <w:r w:rsidRPr="008F6FD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quelqu'un : </w:t>
      </w:r>
      <w:r w:rsidRPr="008F6FD3">
        <w:rPr>
          <w:sz w:val="24"/>
          <w:szCs w:val="24"/>
          <w:lang w:val="fr-FR"/>
        </w:rPr>
        <w:t xml:space="preserve">un ami, </w:t>
      </w:r>
      <w:r>
        <w:rPr>
          <w:sz w:val="24"/>
          <w:szCs w:val="24"/>
          <w:lang w:val="fr-FR"/>
        </w:rPr>
        <w:t>une personne ressource, un professionnel de la santé</w:t>
      </w:r>
      <w:r w:rsidRPr="008F6FD3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un collègue…</w:t>
      </w:r>
    </w:p>
    <w:p w:rsidR="000D1A09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>Nous avons tous la responsabilité</w:t>
      </w:r>
      <w:r>
        <w:rPr>
          <w:sz w:val="24"/>
          <w:szCs w:val="24"/>
          <w:lang w:val="fr-FR"/>
        </w:rPr>
        <w:t xml:space="preserve"> : 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d'écouter quand quelqu'un </w:t>
      </w:r>
      <w:r>
        <w:rPr>
          <w:sz w:val="24"/>
          <w:szCs w:val="24"/>
          <w:lang w:val="fr-FR"/>
        </w:rPr>
        <w:t xml:space="preserve">nous informe qu’il ou elle est victime de </w:t>
      </w:r>
      <w:r w:rsidRPr="008F6FD3">
        <w:rPr>
          <w:sz w:val="24"/>
          <w:szCs w:val="24"/>
          <w:lang w:val="fr-FR"/>
        </w:rPr>
        <w:t xml:space="preserve">violence, 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de croire </w:t>
      </w:r>
      <w:r>
        <w:rPr>
          <w:sz w:val="24"/>
          <w:szCs w:val="24"/>
          <w:lang w:val="fr-FR"/>
        </w:rPr>
        <w:t xml:space="preserve">la victime 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de demander </w:t>
      </w:r>
      <w:r>
        <w:rPr>
          <w:sz w:val="24"/>
          <w:szCs w:val="24"/>
          <w:lang w:val="fr-FR"/>
        </w:rPr>
        <w:t xml:space="preserve">comment nous pouvons l’aider, au lieu de proposer nos propres solutions. </w:t>
      </w:r>
    </w:p>
    <w:p w:rsidR="000D1A09" w:rsidRPr="008F6FD3" w:rsidRDefault="000D1A09" w:rsidP="000D1A09">
      <w:pPr>
        <w:spacing w:line="240" w:lineRule="auto"/>
        <w:rPr>
          <w:i/>
          <w:sz w:val="24"/>
          <w:szCs w:val="24"/>
          <w:lang w:val="fr-FR"/>
        </w:rPr>
      </w:pPr>
      <w:r w:rsidRPr="008F6FD3">
        <w:rPr>
          <w:i/>
          <w:sz w:val="24"/>
          <w:szCs w:val="24"/>
          <w:lang w:val="fr-FR"/>
        </w:rPr>
        <w:t>Que dois-je savoir sur le consentement?</w:t>
      </w:r>
    </w:p>
    <w:p w:rsidR="000D1A09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personne qui prend l’initiative est responsable d’obtenir le consentement de l’autre personne. </w:t>
      </w:r>
    </w:p>
    <w:p w:rsidR="000D1A09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Selon le Code criminel, le consentement </w:t>
      </w:r>
      <w:r>
        <w:rPr>
          <w:sz w:val="24"/>
          <w:szCs w:val="24"/>
          <w:lang w:val="fr-FR"/>
        </w:rPr>
        <w:t>n’est pas reconnu s’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il est donné par  </w:t>
      </w:r>
      <w:r w:rsidRPr="008F6FD3">
        <w:rPr>
          <w:sz w:val="24"/>
          <w:szCs w:val="24"/>
          <w:lang w:val="fr-FR"/>
        </w:rPr>
        <w:t>quelqu'un d'autre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la personne est inconsciente, ivre, </w:t>
      </w:r>
      <w:r>
        <w:rPr>
          <w:sz w:val="24"/>
          <w:szCs w:val="24"/>
          <w:lang w:val="fr-FR"/>
        </w:rPr>
        <w:t>droguée</w:t>
      </w:r>
      <w:r w:rsidRPr="008F6FD3">
        <w:rPr>
          <w:sz w:val="24"/>
          <w:szCs w:val="24"/>
          <w:lang w:val="fr-FR"/>
        </w:rPr>
        <w:t xml:space="preserve">, ou </w:t>
      </w:r>
      <w:r>
        <w:rPr>
          <w:sz w:val="24"/>
          <w:szCs w:val="24"/>
          <w:lang w:val="fr-FR"/>
        </w:rPr>
        <w:t>endormie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s’agit d’un abus de pouvoir, de confiance ou d’autorité</w:t>
      </w:r>
    </w:p>
    <w:p w:rsidR="000D1A09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personne n’a pas dit oui, si elle a dit non ou si par des mots ou des comportements, elle  a exprimé son désaccord</w:t>
      </w:r>
    </w:p>
    <w:p w:rsidR="000D1A09" w:rsidRPr="008F6FD3" w:rsidRDefault="000D1A09" w:rsidP="000D1A09">
      <w:pPr>
        <w:pStyle w:val="Paragraphedeliste"/>
        <w:numPr>
          <w:ilvl w:val="1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personne a changé d’avis</w:t>
      </w:r>
    </w:p>
    <w:p w:rsidR="000D1A09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Sans consentement, </w:t>
      </w:r>
      <w:r>
        <w:rPr>
          <w:sz w:val="24"/>
          <w:szCs w:val="24"/>
          <w:lang w:val="fr-FR"/>
        </w:rPr>
        <w:t xml:space="preserve">ce n’est pas du sexe, c’est un viol. </w:t>
      </w:r>
    </w:p>
    <w:p w:rsidR="000D1A09" w:rsidRPr="006E44DC" w:rsidRDefault="000D1A09" w:rsidP="000D1A09">
      <w:pPr>
        <w:spacing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Qu’est-ce que JE peux faire ?</w:t>
      </w:r>
    </w:p>
    <w:p w:rsidR="000D1A09" w:rsidRPr="008F6FD3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Demander toujours le consentement, clair, volontaire et enthousiaste !</w:t>
      </w:r>
    </w:p>
    <w:p w:rsidR="000D1A09" w:rsidRPr="008F6FD3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Si quelqu'un </w:t>
      </w:r>
      <w:r>
        <w:rPr>
          <w:sz w:val="24"/>
          <w:szCs w:val="24"/>
          <w:lang w:val="fr-FR"/>
        </w:rPr>
        <w:t xml:space="preserve">choisit de vous divulguer qu’il ou elle est victime de violence, croyez cette personne. </w:t>
      </w:r>
      <w:r w:rsidRPr="008F6FD3">
        <w:rPr>
          <w:sz w:val="24"/>
          <w:szCs w:val="24"/>
          <w:lang w:val="fr-FR"/>
        </w:rPr>
        <w:t>Demandez-lui comment vous pouvez aider. Vous ne devez pas avoir toutes les réponses.</w:t>
      </w:r>
      <w:r>
        <w:rPr>
          <w:sz w:val="24"/>
          <w:szCs w:val="24"/>
          <w:lang w:val="fr-FR"/>
        </w:rPr>
        <w:t xml:space="preserve"> Écoutez activement. </w:t>
      </w:r>
    </w:p>
    <w:p w:rsidR="000D1A09" w:rsidRPr="008F6FD3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Soutenez l</w:t>
      </w:r>
      <w:r w:rsidRPr="008F6FD3">
        <w:rPr>
          <w:sz w:val="24"/>
          <w:szCs w:val="24"/>
          <w:lang w:val="fr-FR"/>
        </w:rPr>
        <w:t xml:space="preserve">es organisations locales offrent du soutien et </w:t>
      </w:r>
      <w:r>
        <w:rPr>
          <w:sz w:val="24"/>
          <w:szCs w:val="24"/>
          <w:lang w:val="fr-FR"/>
        </w:rPr>
        <w:t xml:space="preserve">des services de ressources et de conseil auprès des femmes. </w:t>
      </w:r>
    </w:p>
    <w:p w:rsidR="000D1A09" w:rsidRPr="008F6FD3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6FD3">
        <w:rPr>
          <w:sz w:val="24"/>
          <w:szCs w:val="24"/>
          <w:lang w:val="fr-FR"/>
        </w:rPr>
        <w:t xml:space="preserve"> Si vous vous identifiez comme un homme, </w:t>
      </w:r>
      <w:r>
        <w:rPr>
          <w:sz w:val="24"/>
          <w:szCs w:val="24"/>
          <w:lang w:val="fr-FR"/>
        </w:rPr>
        <w:t>vous pouvez vous joindre au groupe</w:t>
      </w:r>
      <w:r w:rsidRPr="008F6FD3">
        <w:rPr>
          <w:sz w:val="24"/>
          <w:szCs w:val="24"/>
          <w:lang w:val="fr-FR"/>
        </w:rPr>
        <w:t xml:space="preserve"> Ruban Blanc Yukon. Votre voix est très importante</w:t>
      </w:r>
      <w:r>
        <w:rPr>
          <w:sz w:val="24"/>
          <w:szCs w:val="24"/>
          <w:lang w:val="fr-FR"/>
        </w:rPr>
        <w:t>; parlez</w:t>
      </w:r>
      <w:r w:rsidRPr="008F6FD3">
        <w:rPr>
          <w:sz w:val="24"/>
          <w:szCs w:val="24"/>
          <w:lang w:val="fr-FR"/>
        </w:rPr>
        <w:t xml:space="preserve"> à vos amis et votre famille </w:t>
      </w:r>
      <w:r>
        <w:rPr>
          <w:sz w:val="24"/>
          <w:szCs w:val="24"/>
          <w:lang w:val="fr-FR"/>
        </w:rPr>
        <w:t xml:space="preserve">de votre vision des choses et pourquoi </w:t>
      </w:r>
      <w:r w:rsidRPr="008F6FD3">
        <w:rPr>
          <w:sz w:val="24"/>
          <w:szCs w:val="24"/>
          <w:lang w:val="fr-FR"/>
        </w:rPr>
        <w:t>la violence est inacceptable.</w:t>
      </w:r>
    </w:p>
    <w:p w:rsidR="000D1A09" w:rsidRDefault="000D1A09" w:rsidP="000D1A0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EC0335">
        <w:rPr>
          <w:sz w:val="24"/>
          <w:szCs w:val="24"/>
          <w:lang w:val="fr-FR"/>
        </w:rPr>
        <w:t>Si dans les médias ou le système juridique vous voyez ou entendez des expressions qui portent la responsabilité d’une agression sur les victimes, faite</w:t>
      </w:r>
      <w:r>
        <w:rPr>
          <w:sz w:val="24"/>
          <w:szCs w:val="24"/>
          <w:lang w:val="fr-FR"/>
        </w:rPr>
        <w:t>s</w:t>
      </w:r>
      <w:r w:rsidRPr="00EC0335">
        <w:rPr>
          <w:sz w:val="24"/>
          <w:szCs w:val="24"/>
          <w:lang w:val="fr-FR"/>
        </w:rPr>
        <w:t xml:space="preserve"> entendre votre voix : un appel téléphonique, un email, ou </w:t>
      </w:r>
      <w:r>
        <w:rPr>
          <w:sz w:val="24"/>
          <w:szCs w:val="24"/>
          <w:lang w:val="fr-FR"/>
        </w:rPr>
        <w:t xml:space="preserve">une lettre ont de l’impact. </w:t>
      </w:r>
    </w:p>
    <w:p w:rsidR="0040053C" w:rsidRPr="002236A6" w:rsidRDefault="00263ABC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If you identify as a man, join White Ribbon Yukon. Your voice is very important</w:t>
      </w:r>
      <w:r w:rsidR="008359CC" w:rsidRPr="002236A6">
        <w:rPr>
          <w:sz w:val="24"/>
          <w:szCs w:val="24"/>
        </w:rPr>
        <w:t>;</w:t>
      </w:r>
      <w:r w:rsidRPr="002236A6">
        <w:rPr>
          <w:sz w:val="24"/>
          <w:szCs w:val="24"/>
        </w:rPr>
        <w:t xml:space="preserve"> talk to your friends and family about how violence is not acceptable. </w:t>
      </w:r>
    </w:p>
    <w:p w:rsidR="00E33D55" w:rsidRDefault="00263ABC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If you see the media </w:t>
      </w:r>
      <w:r w:rsidR="00E33D55">
        <w:rPr>
          <w:sz w:val="24"/>
          <w:szCs w:val="24"/>
        </w:rPr>
        <w:t xml:space="preserve">or the legal system </w:t>
      </w:r>
      <w:r w:rsidRPr="002236A6">
        <w:rPr>
          <w:sz w:val="24"/>
          <w:szCs w:val="24"/>
        </w:rPr>
        <w:t xml:space="preserve">using words </w:t>
      </w:r>
      <w:r w:rsidR="00E33D55">
        <w:rPr>
          <w:sz w:val="24"/>
          <w:szCs w:val="24"/>
        </w:rPr>
        <w:t>that blame the victim,</w:t>
      </w:r>
      <w:r w:rsidRPr="002236A6">
        <w:rPr>
          <w:sz w:val="24"/>
          <w:szCs w:val="24"/>
        </w:rPr>
        <w:t xml:space="preserve"> respond. </w:t>
      </w:r>
    </w:p>
    <w:p w:rsidR="00263ABC" w:rsidRPr="002236A6" w:rsidRDefault="00E33D55" w:rsidP="00E33D55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a phone call, send an email, or write a letter.</w:t>
      </w:r>
    </w:p>
    <w:sectPr w:rsidR="00263ABC" w:rsidRPr="002236A6" w:rsidSect="00153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5F" w:rsidRDefault="00484E5F" w:rsidP="001E3D5C">
      <w:pPr>
        <w:spacing w:after="0" w:line="240" w:lineRule="auto"/>
      </w:pPr>
      <w:r>
        <w:separator/>
      </w:r>
    </w:p>
  </w:endnote>
  <w:endnote w:type="continuationSeparator" w:id="0">
    <w:p w:rsidR="00484E5F" w:rsidRDefault="00484E5F" w:rsidP="001E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09" w:rsidRDefault="000D1A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C" w:rsidRPr="00565169" w:rsidRDefault="0040053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CA"/>
      </w:rPr>
    </w:pPr>
    <w:r w:rsidRPr="00565169">
      <w:rPr>
        <w:rFonts w:asciiTheme="majorHAnsi" w:eastAsiaTheme="majorEastAsia" w:hAnsiTheme="majorHAnsi" w:cstheme="majorBidi"/>
        <w:lang w:val="fr-CA"/>
      </w:rPr>
      <w:t xml:space="preserve">Victoria Faulkner Women’s Centre &amp; Les </w:t>
    </w:r>
    <w:proofErr w:type="spellStart"/>
    <w:r w:rsidRPr="00565169">
      <w:rPr>
        <w:rFonts w:asciiTheme="majorHAnsi" w:eastAsiaTheme="majorEastAsia" w:hAnsiTheme="majorHAnsi" w:cstheme="majorBidi"/>
        <w:lang w:val="fr-CA"/>
      </w:rPr>
      <w:t>EssentiElles</w:t>
    </w:r>
    <w:proofErr w:type="spellEnd"/>
    <w:r w:rsidR="001E3D5C">
      <w:rPr>
        <w:rFonts w:asciiTheme="majorHAnsi" w:eastAsiaTheme="majorEastAsia" w:hAnsiTheme="majorHAnsi" w:cstheme="majorBidi"/>
      </w:rPr>
      <w:ptab w:relativeTo="margin" w:alignment="right" w:leader="none"/>
    </w:r>
    <w:r w:rsidR="001E3D5C" w:rsidRPr="00565169">
      <w:rPr>
        <w:rFonts w:asciiTheme="majorHAnsi" w:eastAsiaTheme="majorEastAsia" w:hAnsiTheme="majorHAnsi" w:cstheme="majorBidi"/>
        <w:lang w:val="fr-CA"/>
      </w:rPr>
      <w:t xml:space="preserve">Page </w:t>
    </w:r>
    <w:r w:rsidR="001E3D5C">
      <w:rPr>
        <w:rFonts w:eastAsiaTheme="minorEastAsia"/>
      </w:rPr>
      <w:fldChar w:fldCharType="begin"/>
    </w:r>
    <w:r w:rsidR="001E3D5C" w:rsidRPr="00565169">
      <w:rPr>
        <w:lang w:val="fr-CA"/>
      </w:rPr>
      <w:instrText xml:space="preserve"> PAGE   \* MERGEFORMAT </w:instrText>
    </w:r>
    <w:r w:rsidR="001E3D5C">
      <w:rPr>
        <w:rFonts w:eastAsiaTheme="minorEastAsia"/>
      </w:rPr>
      <w:fldChar w:fldCharType="separate"/>
    </w:r>
    <w:r w:rsidR="009718EC" w:rsidRPr="009718EC">
      <w:rPr>
        <w:rFonts w:asciiTheme="majorHAnsi" w:eastAsiaTheme="majorEastAsia" w:hAnsiTheme="majorHAnsi" w:cstheme="majorBidi"/>
        <w:noProof/>
        <w:lang w:val="fr-CA"/>
      </w:rPr>
      <w:t>1</w:t>
    </w:r>
    <w:r w:rsidR="001E3D5C">
      <w:rPr>
        <w:rFonts w:asciiTheme="majorHAnsi" w:eastAsiaTheme="majorEastAsia" w:hAnsiTheme="majorHAnsi" w:cstheme="majorBidi"/>
        <w:noProof/>
      </w:rPr>
      <w:fldChar w:fldCharType="end"/>
    </w:r>
  </w:p>
  <w:p w:rsidR="001E3D5C" w:rsidRPr="00565169" w:rsidRDefault="001E3D5C" w:rsidP="001E3D5C">
    <w:pPr>
      <w:pStyle w:val="Pieddepage"/>
      <w:tabs>
        <w:tab w:val="clear" w:pos="4680"/>
        <w:tab w:val="clear" w:pos="9360"/>
        <w:tab w:val="left" w:pos="1691"/>
      </w:tabs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09" w:rsidRDefault="000D1A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5F" w:rsidRDefault="00484E5F" w:rsidP="001E3D5C">
      <w:pPr>
        <w:spacing w:after="0" w:line="240" w:lineRule="auto"/>
      </w:pPr>
      <w:r>
        <w:separator/>
      </w:r>
    </w:p>
  </w:footnote>
  <w:footnote w:type="continuationSeparator" w:id="0">
    <w:p w:rsidR="00484E5F" w:rsidRDefault="00484E5F" w:rsidP="001E3D5C">
      <w:pPr>
        <w:spacing w:after="0" w:line="240" w:lineRule="auto"/>
      </w:pPr>
      <w:r>
        <w:continuationSeparator/>
      </w:r>
    </w:p>
  </w:footnote>
  <w:footnote w:id="1">
    <w:p w:rsidR="00D81017" w:rsidRPr="000D1A09" w:rsidRDefault="00D81017">
      <w:pPr>
        <w:pStyle w:val="Notedebasdepage"/>
      </w:pPr>
      <w:r w:rsidRPr="000D1A09">
        <w:rPr>
          <w:rStyle w:val="Appelnotedebasdep"/>
        </w:rPr>
        <w:footnoteRef/>
      </w:r>
      <w:r w:rsidRPr="000D1A09">
        <w:t xml:space="preserve"> </w:t>
      </w:r>
      <w:r w:rsidRPr="000D1A09">
        <w:rPr>
          <w:color w:val="333333"/>
        </w:rPr>
        <w:t>Canadian Panel on Violence Against Women “Changing the Landscape:  Ending Violence”, Achieving Equality, Ottawa, 1993</w:t>
      </w:r>
    </w:p>
  </w:footnote>
  <w:footnote w:id="2">
    <w:p w:rsidR="00D81017" w:rsidRPr="000D1A09" w:rsidRDefault="00D81017">
      <w:pPr>
        <w:pStyle w:val="Notedebasdepage"/>
        <w:rPr>
          <w:lang w:val="fr-FR"/>
        </w:rPr>
      </w:pPr>
      <w:r w:rsidRPr="000D1A09">
        <w:rPr>
          <w:rStyle w:val="Appelnotedebasdep"/>
        </w:rPr>
        <w:footnoteRef/>
      </w:r>
      <w:r w:rsidRPr="000D1A09">
        <w:t xml:space="preserve"> </w:t>
      </w:r>
      <w:r w:rsidRPr="000D1A09">
        <w:rPr>
          <w:u w:val="single"/>
        </w:rPr>
        <w:t xml:space="preserve">Violence Against Aboriginal </w:t>
      </w:r>
      <w:proofErr w:type="gramStart"/>
      <w:r w:rsidRPr="000D1A09">
        <w:rPr>
          <w:u w:val="single"/>
        </w:rPr>
        <w:t>Women ,</w:t>
      </w:r>
      <w:r w:rsidRPr="000D1A09">
        <w:t>Government</w:t>
      </w:r>
      <w:proofErr w:type="gramEnd"/>
      <w:r w:rsidRPr="000D1A09">
        <w:t xml:space="preserve"> of Canada, Newfoundland Labrador, 2005. </w:t>
      </w:r>
      <w:proofErr w:type="spellStart"/>
      <w:r w:rsidRPr="000D1A09">
        <w:rPr>
          <w:lang w:val="fr-CA"/>
        </w:rPr>
        <w:t>Available</w:t>
      </w:r>
      <w:proofErr w:type="spellEnd"/>
      <w:r w:rsidRPr="000D1A09">
        <w:rPr>
          <w:lang w:val="fr-CA"/>
        </w:rPr>
        <w:t xml:space="preserve">: </w:t>
      </w:r>
      <w:r w:rsidR="009718EC">
        <w:fldChar w:fldCharType="begin"/>
      </w:r>
      <w:r w:rsidR="009718EC" w:rsidRPr="00402017">
        <w:rPr>
          <w:lang w:val="fr-FR"/>
        </w:rPr>
        <w:instrText xml:space="preserve"> HYPERLINK "http://www.gov.nl.ca/VPI/facts/aboriginal_women_fact_sheet.pdf" \t "_blank" </w:instrText>
      </w:r>
      <w:r w:rsidR="009718EC">
        <w:fldChar w:fldCharType="separate"/>
      </w:r>
      <w:r w:rsidRPr="000D1A09">
        <w:rPr>
          <w:rStyle w:val="Lienhypertexte"/>
          <w:lang w:val="fr-CA"/>
        </w:rPr>
        <w:t>http://www.gov.nl.ca/VPI/facts/aboriginal_women_fact_sheet.pdf</w:t>
      </w:r>
      <w:r w:rsidR="009718EC">
        <w:rPr>
          <w:rStyle w:val="Lienhypertexte"/>
          <w:lang w:val="fr-CA"/>
        </w:rPr>
        <w:fldChar w:fldCharType="end"/>
      </w:r>
    </w:p>
  </w:footnote>
  <w:footnote w:id="3">
    <w:p w:rsidR="00D81017" w:rsidRPr="000D1A09" w:rsidRDefault="00D81017">
      <w:pPr>
        <w:pStyle w:val="Notedebasdepage"/>
      </w:pPr>
      <w:r w:rsidRPr="000D1A09">
        <w:rPr>
          <w:rStyle w:val="Appelnotedebasdep"/>
        </w:rPr>
        <w:footnoteRef/>
      </w:r>
      <w:r w:rsidRPr="000D1A09">
        <w:t xml:space="preserve"> “Measuring Violence against Women: Statistical Trends, 2013” Statistics Canada, </w:t>
      </w:r>
      <w:hyperlink r:id="rId1" w:history="1">
        <w:r w:rsidRPr="000D1A09">
          <w:rPr>
            <w:rStyle w:val="Lienhypertexte"/>
          </w:rPr>
          <w:t>http://www.statcan.gc.ca/pub/85-002-x/2013001/article/11766-eng.pdf</w:t>
        </w:r>
      </w:hyperlink>
    </w:p>
  </w:footnote>
  <w:footnote w:id="4">
    <w:p w:rsidR="00D81017" w:rsidRPr="000D1A09" w:rsidRDefault="00D81017">
      <w:pPr>
        <w:pStyle w:val="Notedebasdepage"/>
      </w:pPr>
      <w:r w:rsidRPr="000D1A09">
        <w:rPr>
          <w:rStyle w:val="Appelnotedebasdep"/>
        </w:rPr>
        <w:footnoteRef/>
      </w:r>
      <w:r w:rsidRPr="000D1A09">
        <w:t xml:space="preserve"> “Sexual Assault in Canada, 2007” Statistics Canada, </w:t>
      </w:r>
      <w:hyperlink r:id="rId2" w:history="1">
        <w:r w:rsidRPr="000D1A09">
          <w:rPr>
            <w:rStyle w:val="Lienhypertexte"/>
          </w:rPr>
          <w:t>http://www.statcan.gc.ca/pub/85f0033m/2010024/part-partie1-eng.htm</w:t>
        </w:r>
      </w:hyperlink>
      <w:r w:rsidRPr="000D1A09">
        <w:t xml:space="preserve"> </w:t>
      </w:r>
    </w:p>
  </w:footnote>
  <w:footnote w:id="5">
    <w:p w:rsidR="00D81017" w:rsidRPr="000D1A09" w:rsidRDefault="00D81017">
      <w:pPr>
        <w:pStyle w:val="Notedebasdepage"/>
      </w:pPr>
      <w:r w:rsidRPr="000D1A09">
        <w:rPr>
          <w:rStyle w:val="Appelnotedebasdep"/>
        </w:rPr>
        <w:footnoteRef/>
      </w:r>
      <w:r w:rsidRPr="000D1A09">
        <w:t xml:space="preserve"> “Gender Differences in Police-Reported Crime in Canada, 2007” Statistics Canada, </w:t>
      </w:r>
      <w:hyperlink r:id="rId3" w:history="1">
        <w:r w:rsidRPr="000D1A09">
          <w:rPr>
            <w:rStyle w:val="Lienhypertexte"/>
          </w:rPr>
          <w:t>http://www.statcan.gc.ca/pub/85f0033m/2010024/part-partie1-eng.htm</w:t>
        </w:r>
      </w:hyperlink>
      <w:r w:rsidRPr="000D1A09">
        <w:t xml:space="preserve"> </w:t>
      </w:r>
    </w:p>
  </w:footnote>
  <w:footnote w:id="6">
    <w:p w:rsidR="00D81017" w:rsidRPr="000D1A09" w:rsidRDefault="00D81017">
      <w:pPr>
        <w:pStyle w:val="Notedebasdepage"/>
        <w:rPr>
          <w:sz w:val="22"/>
        </w:rPr>
      </w:pPr>
      <w:r w:rsidRPr="000D1A09">
        <w:rPr>
          <w:rStyle w:val="Appelnotedebasdep"/>
        </w:rPr>
        <w:footnoteRef/>
      </w:r>
      <w:r w:rsidRPr="000D1A09">
        <w:t xml:space="preserve"> Measuring Violence </w:t>
      </w:r>
      <w:proofErr w:type="gramStart"/>
      <w:r w:rsidRPr="000D1A09">
        <w:t>Against</w:t>
      </w:r>
      <w:proofErr w:type="gramEnd"/>
      <w:r w:rsidRPr="000D1A09">
        <w:t xml:space="preserve"> Women, 2013.</w:t>
      </w:r>
    </w:p>
  </w:footnote>
  <w:footnote w:id="7">
    <w:p w:rsidR="000D1A09" w:rsidRPr="000D1A09" w:rsidRDefault="000D1A09">
      <w:pPr>
        <w:pStyle w:val="Notedebasdepage"/>
      </w:pPr>
      <w:r>
        <w:rPr>
          <w:rStyle w:val="Appelnotedebasdep"/>
        </w:rPr>
        <w:footnoteRef/>
      </w:r>
      <w:r>
        <w:t xml:space="preserve"> General Social Survey on Victimization, 2009</w:t>
      </w:r>
    </w:p>
  </w:footnote>
  <w:footnote w:id="8">
    <w:p w:rsidR="000D1A09" w:rsidRPr="000D1A09" w:rsidRDefault="000D1A09">
      <w:pPr>
        <w:pStyle w:val="Notedebasdepage"/>
      </w:pPr>
      <w:r>
        <w:rPr>
          <w:rStyle w:val="Appelnotedebasdep"/>
        </w:rPr>
        <w:footnoteRef/>
      </w:r>
      <w:r>
        <w:t xml:space="preserve"> General Social Survey on Victimization, 2009</w:t>
      </w:r>
    </w:p>
  </w:footnote>
  <w:footnote w:id="9">
    <w:p w:rsidR="000D1A09" w:rsidRPr="000D1A09" w:rsidRDefault="000D1A09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“Criminal Victimization in Canada, 2009” Statistics Canada </w:t>
      </w:r>
      <w:hyperlink r:id="rId4" w:history="1">
        <w:r>
          <w:rPr>
            <w:rStyle w:val="Lienhypertexte"/>
          </w:rPr>
          <w:t>http://www.statcan.gc.ca/pub/85-002-x/2010002/article/11340-eng.pdf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09" w:rsidRDefault="000D1A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09" w:rsidRDefault="000D1A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09" w:rsidRDefault="000D1A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D4D"/>
    <w:multiLevelType w:val="hybridMultilevel"/>
    <w:tmpl w:val="CB34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2FC"/>
    <w:multiLevelType w:val="hybridMultilevel"/>
    <w:tmpl w:val="C3181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1E3BB2"/>
    <w:multiLevelType w:val="hybridMultilevel"/>
    <w:tmpl w:val="BDF0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3485"/>
    <w:multiLevelType w:val="hybridMultilevel"/>
    <w:tmpl w:val="3F1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294C"/>
    <w:multiLevelType w:val="hybridMultilevel"/>
    <w:tmpl w:val="0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A1C"/>
    <w:multiLevelType w:val="hybridMultilevel"/>
    <w:tmpl w:val="164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5A5"/>
    <w:multiLevelType w:val="multilevel"/>
    <w:tmpl w:val="A71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77325"/>
    <w:multiLevelType w:val="hybridMultilevel"/>
    <w:tmpl w:val="687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363B"/>
    <w:multiLevelType w:val="hybridMultilevel"/>
    <w:tmpl w:val="649891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BBD33CD"/>
    <w:multiLevelType w:val="hybridMultilevel"/>
    <w:tmpl w:val="09BA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35E4"/>
    <w:multiLevelType w:val="hybridMultilevel"/>
    <w:tmpl w:val="FA5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741D"/>
    <w:multiLevelType w:val="hybridMultilevel"/>
    <w:tmpl w:val="B0649B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8DC7B4A"/>
    <w:multiLevelType w:val="hybridMultilevel"/>
    <w:tmpl w:val="51DA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25CFD"/>
    <w:multiLevelType w:val="hybridMultilevel"/>
    <w:tmpl w:val="646AB5D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8657A6F"/>
    <w:multiLevelType w:val="hybridMultilevel"/>
    <w:tmpl w:val="EB5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FE"/>
    <w:rsid w:val="00017793"/>
    <w:rsid w:val="00082942"/>
    <w:rsid w:val="000D1A09"/>
    <w:rsid w:val="000D1EC0"/>
    <w:rsid w:val="001536BF"/>
    <w:rsid w:val="001E3D5C"/>
    <w:rsid w:val="001F3819"/>
    <w:rsid w:val="002003A5"/>
    <w:rsid w:val="002236A6"/>
    <w:rsid w:val="00263ABC"/>
    <w:rsid w:val="002F7088"/>
    <w:rsid w:val="00365395"/>
    <w:rsid w:val="003C695A"/>
    <w:rsid w:val="003E2F87"/>
    <w:rsid w:val="0040053C"/>
    <w:rsid w:val="00400E7F"/>
    <w:rsid w:val="00402017"/>
    <w:rsid w:val="00445377"/>
    <w:rsid w:val="00484E5F"/>
    <w:rsid w:val="00487BF6"/>
    <w:rsid w:val="004D32B3"/>
    <w:rsid w:val="00565169"/>
    <w:rsid w:val="005A251E"/>
    <w:rsid w:val="005A4B5B"/>
    <w:rsid w:val="005A52C2"/>
    <w:rsid w:val="005E5B82"/>
    <w:rsid w:val="006B348F"/>
    <w:rsid w:val="0074500F"/>
    <w:rsid w:val="00794913"/>
    <w:rsid w:val="007E0AA5"/>
    <w:rsid w:val="008359CC"/>
    <w:rsid w:val="008C3F89"/>
    <w:rsid w:val="0096339A"/>
    <w:rsid w:val="009718EC"/>
    <w:rsid w:val="009D2F69"/>
    <w:rsid w:val="00AE1DFE"/>
    <w:rsid w:val="00B24B36"/>
    <w:rsid w:val="00B904BE"/>
    <w:rsid w:val="00CA1C7F"/>
    <w:rsid w:val="00CB0373"/>
    <w:rsid w:val="00CC482C"/>
    <w:rsid w:val="00CE2DC4"/>
    <w:rsid w:val="00D05AA0"/>
    <w:rsid w:val="00D60356"/>
    <w:rsid w:val="00D81017"/>
    <w:rsid w:val="00D86DD5"/>
    <w:rsid w:val="00DE020E"/>
    <w:rsid w:val="00E33D55"/>
    <w:rsid w:val="00E464CD"/>
    <w:rsid w:val="00E7589E"/>
    <w:rsid w:val="00EB0F53"/>
    <w:rsid w:val="00ED0A3E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450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D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E5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B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B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D5C"/>
  </w:style>
  <w:style w:type="paragraph" w:styleId="Pieddepage">
    <w:name w:val="footer"/>
    <w:basedOn w:val="Normal"/>
    <w:link w:val="Pieddepag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D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3D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3D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3D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E3D5C"/>
    <w:rPr>
      <w:color w:val="0000FF"/>
      <w:u w:val="single"/>
    </w:rPr>
  </w:style>
  <w:style w:type="character" w:customStyle="1" w:styleId="footnote">
    <w:name w:val="footnote"/>
    <w:basedOn w:val="Policepardfaut"/>
    <w:rsid w:val="001E3D5C"/>
  </w:style>
  <w:style w:type="character" w:customStyle="1" w:styleId="Titre6Car">
    <w:name w:val="Titre 6 Car"/>
    <w:basedOn w:val="Policepardfaut"/>
    <w:link w:val="Titre6"/>
    <w:uiPriority w:val="9"/>
    <w:rsid w:val="0074500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ccentuation">
    <w:name w:val="Emphasis"/>
    <w:basedOn w:val="Policepardfaut"/>
    <w:uiPriority w:val="20"/>
    <w:qFormat/>
    <w:rsid w:val="0040053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E2F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03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03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60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450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D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E5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B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B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D5C"/>
  </w:style>
  <w:style w:type="paragraph" w:styleId="Pieddepage">
    <w:name w:val="footer"/>
    <w:basedOn w:val="Normal"/>
    <w:link w:val="Pieddepag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D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3D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3D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3D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E3D5C"/>
    <w:rPr>
      <w:color w:val="0000FF"/>
      <w:u w:val="single"/>
    </w:rPr>
  </w:style>
  <w:style w:type="character" w:customStyle="1" w:styleId="footnote">
    <w:name w:val="footnote"/>
    <w:basedOn w:val="Policepardfaut"/>
    <w:rsid w:val="001E3D5C"/>
  </w:style>
  <w:style w:type="character" w:customStyle="1" w:styleId="Titre6Car">
    <w:name w:val="Titre 6 Car"/>
    <w:basedOn w:val="Policepardfaut"/>
    <w:link w:val="Titre6"/>
    <w:uiPriority w:val="9"/>
    <w:rsid w:val="0074500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ccentuation">
    <w:name w:val="Emphasis"/>
    <w:basedOn w:val="Policepardfaut"/>
    <w:uiPriority w:val="20"/>
    <w:qFormat/>
    <w:rsid w:val="0040053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E2F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03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03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60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can.gc.ca/pub/85f0033m/2010024/part-partie1-eng.htm" TargetMode="External"/><Relationship Id="rId2" Type="http://schemas.openxmlformats.org/officeDocument/2006/relationships/hyperlink" Target="http://www.statcan.gc.ca/pub/85f0033m/2010024/part-partie1-eng.htm" TargetMode="External"/><Relationship Id="rId1" Type="http://schemas.openxmlformats.org/officeDocument/2006/relationships/hyperlink" Target="http://www.statcan.gc.ca/pub/85-002-x/2013001/article/11766-eng.pdf" TargetMode="External"/><Relationship Id="rId4" Type="http://schemas.openxmlformats.org/officeDocument/2006/relationships/hyperlink" Target="http://www.statcan.gc.ca/pub/85-002-x/2010002/article/11340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451E-2C3B-4769-8788-37A584EE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VFWC</dc:creator>
  <cp:lastModifiedBy>Maryne Dumaine</cp:lastModifiedBy>
  <cp:revision>4</cp:revision>
  <cp:lastPrinted>2015-04-27T20:37:00Z</cp:lastPrinted>
  <dcterms:created xsi:type="dcterms:W3CDTF">2015-04-28T22:08:00Z</dcterms:created>
  <dcterms:modified xsi:type="dcterms:W3CDTF">2015-04-29T22:30:00Z</dcterms:modified>
</cp:coreProperties>
</file>